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A184" w14:textId="3923D64B" w:rsidR="00686460" w:rsidRPr="005364BC" w:rsidRDefault="00000000" w:rsidP="005364BC">
      <w:pPr>
        <w:pStyle w:val="Heading1"/>
        <w:spacing w:before="111"/>
        <w:ind w:left="4493" w:right="3818" w:hanging="13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677A1B3" wp14:editId="4677A1B4">
            <wp:simplePos x="0" y="0"/>
            <wp:positionH relativeFrom="page">
              <wp:posOffset>668655</wp:posOffset>
            </wp:positionH>
            <wp:positionV relativeFrom="paragraph">
              <wp:posOffset>1082</wp:posOffset>
            </wp:positionV>
            <wp:extent cx="824459" cy="3014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59" cy="30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RACK</w:t>
      </w:r>
      <w:r>
        <w:rPr>
          <w:spacing w:val="-14"/>
        </w:rPr>
        <w:t xml:space="preserve"> </w:t>
      </w:r>
      <w:r>
        <w:t>extern</w:t>
      </w:r>
      <w:r>
        <w:rPr>
          <w:spacing w:val="-13"/>
        </w:rPr>
        <w:t xml:space="preserve"> </w:t>
      </w:r>
      <w:r>
        <w:rPr>
          <w:color w:val="404040"/>
        </w:rPr>
        <w:t xml:space="preserve">SPR-25612 </w:t>
      </w:r>
      <w:r>
        <w:t>Manual de utilizare</w:t>
      </w:r>
    </w:p>
    <w:p w14:paraId="4677A185" w14:textId="77777777" w:rsidR="00686460" w:rsidRDefault="00686460">
      <w:pPr>
        <w:pStyle w:val="BodyText"/>
        <w:spacing w:before="39"/>
        <w:rPr>
          <w:b/>
        </w:rPr>
      </w:pPr>
    </w:p>
    <w:p w14:paraId="18DBA372" w14:textId="2B4A6A2E" w:rsidR="00B03639" w:rsidRPr="00EB3411" w:rsidRDefault="00B03639" w:rsidP="00B03639">
      <w:pPr>
        <w:ind w:left="100"/>
        <w:rPr>
          <w:b/>
          <w:sz w:val="18"/>
          <w:szCs w:val="18"/>
          <w:u w:val="single"/>
        </w:rPr>
      </w:pPr>
      <w:r w:rsidRPr="00EB3411">
        <w:rPr>
          <w:b/>
          <w:sz w:val="18"/>
          <w:szCs w:val="18"/>
        </w:rPr>
        <w:t xml:space="preserve">This manual is available in English, </w:t>
      </w:r>
      <w:r w:rsidR="004F4C31">
        <w:rPr>
          <w:b/>
          <w:sz w:val="18"/>
          <w:szCs w:val="18"/>
        </w:rPr>
        <w:t>Spanish</w:t>
      </w:r>
      <w:r w:rsidRPr="00EB3411">
        <w:rPr>
          <w:b/>
          <w:sz w:val="18"/>
          <w:szCs w:val="18"/>
        </w:rPr>
        <w:t xml:space="preserve"> and Romanian on </w:t>
      </w:r>
      <w:hyperlink r:id="rId6" w:history="1">
        <w:r w:rsidRPr="00EB3411">
          <w:rPr>
            <w:rStyle w:val="Hyperlink"/>
            <w:b/>
            <w:sz w:val="18"/>
            <w:szCs w:val="18"/>
          </w:rPr>
          <w:t>www.spacer-tech.com</w:t>
        </w:r>
      </w:hyperlink>
      <w:r w:rsidRPr="00EB3411">
        <w:rPr>
          <w:b/>
          <w:sz w:val="18"/>
          <w:szCs w:val="18"/>
        </w:rPr>
        <w:t xml:space="preserve"> and </w:t>
      </w:r>
      <w:hyperlink r:id="rId7">
        <w:r w:rsidRPr="00EB3411">
          <w:rPr>
            <w:rStyle w:val="Hyperlink"/>
            <w:b/>
            <w:sz w:val="18"/>
            <w:szCs w:val="18"/>
          </w:rPr>
          <w:t>www.spacer.ro</w:t>
        </w:r>
      </w:hyperlink>
      <w:r w:rsidRPr="00EB3411">
        <w:rPr>
          <w:b/>
          <w:sz w:val="18"/>
          <w:szCs w:val="18"/>
          <w:u w:val="single"/>
        </w:rPr>
        <w:t>.</w:t>
      </w:r>
    </w:p>
    <w:p w14:paraId="3D1A10E6" w14:textId="66A134BA" w:rsidR="00B03639" w:rsidRPr="00B03639" w:rsidRDefault="00B03639" w:rsidP="00B03639">
      <w:pPr>
        <w:ind w:left="100"/>
        <w:rPr>
          <w:b/>
          <w:sz w:val="18"/>
          <w:szCs w:val="18"/>
        </w:rPr>
      </w:pPr>
      <w:r w:rsidRPr="00B03639">
        <w:rPr>
          <w:b/>
          <w:sz w:val="18"/>
          <w:szCs w:val="18"/>
        </w:rPr>
        <w:t>Please search for the code : ”</w:t>
      </w:r>
      <w:r w:rsidRPr="00B03639">
        <w:rPr>
          <w:sz w:val="18"/>
          <w:szCs w:val="18"/>
        </w:rPr>
        <w:t>SPR-25612”</w:t>
      </w:r>
    </w:p>
    <w:p w14:paraId="4677A187" w14:textId="2C072225" w:rsidR="00686460" w:rsidRDefault="00000000" w:rsidP="00B03639">
      <w:pPr>
        <w:ind w:left="100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677A1B5" wp14:editId="4677A1B6">
            <wp:simplePos x="0" y="0"/>
            <wp:positionH relativeFrom="page">
              <wp:posOffset>457200</wp:posOffset>
            </wp:positionH>
            <wp:positionV relativeFrom="paragraph">
              <wp:posOffset>112398</wp:posOffset>
            </wp:positionV>
            <wp:extent cx="931108" cy="58521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10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56F01" w14:textId="52C2448B" w:rsidR="00FD5212" w:rsidRDefault="00FF2BE2">
      <w:pPr>
        <w:pStyle w:val="BodyText"/>
        <w:spacing w:before="187"/>
        <w:ind w:left="100"/>
      </w:pPr>
      <w:r w:rsidRPr="00FF2BE2">
        <w:rPr>
          <w:b/>
          <w:bCs/>
        </w:rPr>
        <w:t>Boîtier externe</w:t>
      </w:r>
      <w:r>
        <w:rPr>
          <w:b/>
          <w:bCs/>
        </w:rPr>
        <w:t xml:space="preserve"> </w:t>
      </w:r>
      <w:r w:rsidR="00000000">
        <w:rPr>
          <w:b/>
        </w:rPr>
        <w:t>SPACER,</w:t>
      </w:r>
      <w:r w:rsidR="00000000">
        <w:rPr>
          <w:b/>
          <w:spacing w:val="3"/>
        </w:rPr>
        <w:t xml:space="preserve"> </w:t>
      </w:r>
      <w:r w:rsidR="00000000">
        <w:t>p</w:t>
      </w:r>
      <w:r>
        <w:t>our</w:t>
      </w:r>
      <w:r w:rsidR="00000000">
        <w:rPr>
          <w:spacing w:val="-1"/>
        </w:rPr>
        <w:t xml:space="preserve"> </w:t>
      </w:r>
      <w:r w:rsidR="00000000">
        <w:t>HDD/SSD,</w:t>
      </w:r>
      <w:r w:rsidR="00000000">
        <w:rPr>
          <w:spacing w:val="-3"/>
        </w:rPr>
        <w:t xml:space="preserve"> </w:t>
      </w:r>
      <w:r w:rsidR="00000000">
        <w:t>2.5inch,</w:t>
      </w:r>
      <w:r w:rsidR="00000000">
        <w:rPr>
          <w:spacing w:val="-3"/>
        </w:rPr>
        <w:t xml:space="preserve"> </w:t>
      </w:r>
      <w:r w:rsidR="00000000">
        <w:t>S-ATA,</w:t>
      </w:r>
      <w:r w:rsidR="00000000">
        <w:rPr>
          <w:spacing w:val="-3"/>
        </w:rPr>
        <w:t xml:space="preserve"> </w:t>
      </w:r>
      <w:r w:rsidR="00000000">
        <w:t>interfa</w:t>
      </w:r>
      <w:r>
        <w:t>ce</w:t>
      </w:r>
      <w:r w:rsidR="00000000">
        <w:rPr>
          <w:spacing w:val="-2"/>
        </w:rPr>
        <w:t xml:space="preserve"> </w:t>
      </w:r>
      <w:r w:rsidR="00000000">
        <w:t>PC</w:t>
      </w:r>
      <w:r w:rsidR="00000000">
        <w:rPr>
          <w:spacing w:val="-3"/>
        </w:rPr>
        <w:t xml:space="preserve"> </w:t>
      </w:r>
      <w:r w:rsidR="00000000">
        <w:t>USB</w:t>
      </w:r>
      <w:r w:rsidR="00000000">
        <w:rPr>
          <w:spacing w:val="-2"/>
        </w:rPr>
        <w:t xml:space="preserve"> </w:t>
      </w:r>
      <w:r w:rsidR="00000000">
        <w:t>3.0</w:t>
      </w:r>
      <w:r w:rsidR="00000000">
        <w:rPr>
          <w:b/>
        </w:rPr>
        <w:t>.</w:t>
      </w:r>
      <w:r w:rsidR="00000000">
        <w:rPr>
          <w:b/>
          <w:spacing w:val="-3"/>
        </w:rPr>
        <w:t xml:space="preserve"> </w:t>
      </w:r>
      <w:r w:rsidR="00FD5212">
        <w:t>Ce manuel est valable pour les produits suivants :</w:t>
      </w:r>
    </w:p>
    <w:p w14:paraId="4677A189" w14:textId="77777777" w:rsidR="00686460" w:rsidRDefault="00000000">
      <w:pPr>
        <w:pStyle w:val="Heading1"/>
        <w:spacing w:before="16"/>
      </w:pPr>
      <w:r>
        <w:t>SPR-25612,</w:t>
      </w:r>
      <w:r>
        <w:rPr>
          <w:spacing w:val="-7"/>
        </w:rPr>
        <w:t xml:space="preserve"> </w:t>
      </w:r>
      <w:r>
        <w:t>SPR-25612W,</w:t>
      </w:r>
      <w:r>
        <w:rPr>
          <w:spacing w:val="-4"/>
        </w:rPr>
        <w:t xml:space="preserve"> </w:t>
      </w:r>
      <w:r>
        <w:t>SPR-</w:t>
      </w:r>
      <w:r>
        <w:rPr>
          <w:spacing w:val="-2"/>
        </w:rPr>
        <w:t>25612BL</w:t>
      </w:r>
    </w:p>
    <w:p w14:paraId="4677A18A" w14:textId="77777777" w:rsidR="00686460" w:rsidRDefault="00686460">
      <w:pPr>
        <w:pStyle w:val="BodyText"/>
        <w:spacing w:before="2"/>
        <w:rPr>
          <w:b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4860"/>
      </w:tblGrid>
      <w:tr w:rsidR="00686460" w14:paraId="4677A18D" w14:textId="77777777" w:rsidTr="007A2534">
        <w:trPr>
          <w:trHeight w:val="258"/>
        </w:trPr>
        <w:tc>
          <w:tcPr>
            <w:tcW w:w="3975" w:type="dxa"/>
          </w:tcPr>
          <w:p w14:paraId="4677A18B" w14:textId="148663CC" w:rsidR="00686460" w:rsidRDefault="002A3278">
            <w:pPr>
              <w:pStyle w:val="TableParagraph"/>
              <w:spacing w:before="0"/>
              <w:ind w:left="50"/>
              <w:rPr>
                <w:b/>
                <w:sz w:val="18"/>
              </w:rPr>
            </w:pPr>
            <w:r w:rsidRPr="002A3278">
              <w:rPr>
                <w:b/>
                <w:spacing w:val="-2"/>
                <w:sz w:val="18"/>
              </w:rPr>
              <w:t>Caractéristiques</w:t>
            </w:r>
          </w:p>
        </w:tc>
        <w:tc>
          <w:tcPr>
            <w:tcW w:w="4860" w:type="dxa"/>
          </w:tcPr>
          <w:p w14:paraId="4677A18C" w14:textId="0ABAE658" w:rsidR="00686460" w:rsidRDefault="002109D8">
            <w:pPr>
              <w:pStyle w:val="TableParagraph"/>
              <w:spacing w:before="0"/>
              <w:rPr>
                <w:b/>
                <w:sz w:val="18"/>
              </w:rPr>
            </w:pPr>
            <w:r w:rsidRPr="002109D8">
              <w:rPr>
                <w:b/>
                <w:bCs/>
                <w:sz w:val="18"/>
              </w:rPr>
              <w:t>Spécifications techniques</w:t>
            </w:r>
          </w:p>
        </w:tc>
      </w:tr>
      <w:tr w:rsidR="007A2534" w14:paraId="4677A190" w14:textId="77777777" w:rsidTr="007A2534">
        <w:trPr>
          <w:trHeight w:val="300"/>
        </w:trPr>
        <w:tc>
          <w:tcPr>
            <w:tcW w:w="3975" w:type="dxa"/>
          </w:tcPr>
          <w:p w14:paraId="4677A18E" w14:textId="400C3ABA" w:rsidR="007A2534" w:rsidRPr="007A2534" w:rsidRDefault="007A2534" w:rsidP="00F559C8">
            <w:pPr>
              <w:pStyle w:val="TableParagraph"/>
              <w:ind w:left="50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La partie électronique est intégrée dans le boîtier</w:t>
            </w:r>
          </w:p>
        </w:tc>
        <w:tc>
          <w:tcPr>
            <w:tcW w:w="4860" w:type="dxa"/>
          </w:tcPr>
          <w:p w14:paraId="4677A18F" w14:textId="2A8D8E4E" w:rsidR="007A2534" w:rsidRPr="007A2534" w:rsidRDefault="007A2534" w:rsidP="00F559C8">
            <w:pPr>
              <w:pStyle w:val="TableParagraph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Connectivité : USB 3.0 (compatible avec USB 2.0/1.1)</w:t>
            </w:r>
          </w:p>
        </w:tc>
      </w:tr>
      <w:tr w:rsidR="007A2534" w14:paraId="4677A193" w14:textId="77777777" w:rsidTr="007A2534">
        <w:trPr>
          <w:trHeight w:val="300"/>
        </w:trPr>
        <w:tc>
          <w:tcPr>
            <w:tcW w:w="3975" w:type="dxa"/>
          </w:tcPr>
          <w:p w14:paraId="4677A191" w14:textId="17BB6FFF" w:rsidR="007A2534" w:rsidRPr="007A2534" w:rsidRDefault="007A2534" w:rsidP="00F559C8">
            <w:pPr>
              <w:pStyle w:val="TableParagraph"/>
              <w:ind w:left="50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Matériau : plastique ABS</w:t>
            </w:r>
          </w:p>
        </w:tc>
        <w:tc>
          <w:tcPr>
            <w:tcW w:w="4860" w:type="dxa"/>
          </w:tcPr>
          <w:p w14:paraId="4677A192" w14:textId="726BE76D" w:rsidR="007A2534" w:rsidRPr="007A2534" w:rsidRDefault="007A2534" w:rsidP="00F559C8">
            <w:pPr>
              <w:pStyle w:val="TableParagraph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Taux de transfert : max 5 Gbps</w:t>
            </w:r>
          </w:p>
        </w:tc>
      </w:tr>
      <w:tr w:rsidR="007A2534" w14:paraId="4677A196" w14:textId="77777777" w:rsidTr="007A2534">
        <w:trPr>
          <w:trHeight w:val="300"/>
        </w:trPr>
        <w:tc>
          <w:tcPr>
            <w:tcW w:w="3975" w:type="dxa"/>
          </w:tcPr>
          <w:p w14:paraId="4677A194" w14:textId="609A057F" w:rsidR="007A2534" w:rsidRPr="007A2534" w:rsidRDefault="007A2534" w:rsidP="00F559C8">
            <w:pPr>
              <w:pStyle w:val="TableParagraph"/>
              <w:ind w:left="50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Couleur : noir / blanc / bleu clair</w:t>
            </w:r>
          </w:p>
        </w:tc>
        <w:tc>
          <w:tcPr>
            <w:tcW w:w="4860" w:type="dxa"/>
          </w:tcPr>
          <w:p w14:paraId="4677A195" w14:textId="25704FC8" w:rsidR="007A2534" w:rsidRPr="007A2534" w:rsidRDefault="007A2534" w:rsidP="00F559C8">
            <w:pPr>
              <w:pStyle w:val="TableParagraph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Capacité : max 2 To SSD/HDD</w:t>
            </w:r>
          </w:p>
        </w:tc>
      </w:tr>
      <w:tr w:rsidR="007A2534" w14:paraId="4677A199" w14:textId="77777777" w:rsidTr="007A2534">
        <w:trPr>
          <w:trHeight w:val="300"/>
        </w:trPr>
        <w:tc>
          <w:tcPr>
            <w:tcW w:w="3975" w:type="dxa"/>
          </w:tcPr>
          <w:p w14:paraId="4677A197" w14:textId="7E414AA8" w:rsidR="007A2534" w:rsidRPr="007A2534" w:rsidRDefault="007A2534" w:rsidP="00F559C8">
            <w:pPr>
              <w:pStyle w:val="TableParagraph"/>
              <w:ind w:left="50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Dimensions : 125 x 75 x 13 mm</w:t>
            </w:r>
          </w:p>
        </w:tc>
        <w:tc>
          <w:tcPr>
            <w:tcW w:w="4860" w:type="dxa"/>
          </w:tcPr>
          <w:p w14:paraId="4677A198" w14:textId="11087C9A" w:rsidR="007A2534" w:rsidRPr="007A2534" w:rsidRDefault="007A2534" w:rsidP="00F559C8">
            <w:pPr>
              <w:pStyle w:val="TableParagraph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Compatible avec les HDD SATA de 2,5 pouces (9,5 mm)</w:t>
            </w:r>
          </w:p>
        </w:tc>
      </w:tr>
      <w:tr w:rsidR="007A2534" w14:paraId="4677A19C" w14:textId="77777777" w:rsidTr="007A2534">
        <w:trPr>
          <w:trHeight w:val="300"/>
        </w:trPr>
        <w:tc>
          <w:tcPr>
            <w:tcW w:w="3975" w:type="dxa"/>
          </w:tcPr>
          <w:p w14:paraId="4677A19A" w14:textId="77777777" w:rsidR="007A2534" w:rsidRPr="007A2534" w:rsidRDefault="007A2534" w:rsidP="00F559C8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677A19B" w14:textId="6FD87103" w:rsidR="007A2534" w:rsidRPr="007A2534" w:rsidRDefault="007A2534" w:rsidP="00F559C8">
            <w:pPr>
              <w:pStyle w:val="TableParagraph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Interface S-ATA</w:t>
            </w:r>
          </w:p>
        </w:tc>
      </w:tr>
      <w:tr w:rsidR="007A2534" w14:paraId="4677A19F" w14:textId="77777777" w:rsidTr="007A2534">
        <w:trPr>
          <w:trHeight w:val="258"/>
        </w:trPr>
        <w:tc>
          <w:tcPr>
            <w:tcW w:w="3975" w:type="dxa"/>
          </w:tcPr>
          <w:p w14:paraId="4677A19D" w14:textId="77777777" w:rsidR="007A2534" w:rsidRPr="007A2534" w:rsidRDefault="007A2534" w:rsidP="00F559C8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677A19E" w14:textId="594530BF" w:rsidR="007A2534" w:rsidRPr="007A2534" w:rsidRDefault="007A2534" w:rsidP="00F559C8">
            <w:pPr>
              <w:pStyle w:val="TableParagraph"/>
              <w:rPr>
                <w:sz w:val="18"/>
                <w:szCs w:val="18"/>
              </w:rPr>
            </w:pPr>
            <w:r w:rsidRPr="007A2534">
              <w:rPr>
                <w:sz w:val="18"/>
                <w:szCs w:val="18"/>
              </w:rPr>
              <w:t>Pas besoin de pilotes d'installation</w:t>
            </w:r>
          </w:p>
        </w:tc>
      </w:tr>
    </w:tbl>
    <w:p w14:paraId="412E3BCD" w14:textId="77777777" w:rsidR="00D40EB7" w:rsidRDefault="00D40EB7">
      <w:pPr>
        <w:spacing w:before="44"/>
        <w:ind w:left="100"/>
        <w:rPr>
          <w:b/>
          <w:sz w:val="18"/>
        </w:rPr>
      </w:pPr>
    </w:p>
    <w:p w14:paraId="35D730B6" w14:textId="26415195" w:rsidR="002109D8" w:rsidRPr="00F51EF0" w:rsidRDefault="00000000" w:rsidP="00F51EF0">
      <w:pPr>
        <w:spacing w:before="44"/>
        <w:ind w:left="100"/>
        <w:rPr>
          <w:spacing w:val="-2"/>
          <w:sz w:val="18"/>
        </w:rPr>
      </w:pPr>
      <w:r>
        <w:rPr>
          <w:b/>
          <w:sz w:val="18"/>
        </w:rPr>
        <w:t>Continut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ambalaj: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rack</w:t>
      </w:r>
      <w:r>
        <w:rPr>
          <w:spacing w:val="-4"/>
          <w:sz w:val="18"/>
        </w:rPr>
        <w:t xml:space="preserve"> </w:t>
      </w:r>
      <w:r>
        <w:rPr>
          <w:sz w:val="18"/>
        </w:rPr>
        <w:t>extern,</w:t>
      </w:r>
      <w:r>
        <w:rPr>
          <w:spacing w:val="-2"/>
          <w:sz w:val="18"/>
        </w:rPr>
        <w:t xml:space="preserve"> </w:t>
      </w:r>
      <w:r>
        <w:rPr>
          <w:sz w:val="18"/>
        </w:rPr>
        <w:t>cablu</w:t>
      </w:r>
      <w:r>
        <w:rPr>
          <w:spacing w:val="-4"/>
          <w:sz w:val="18"/>
        </w:rPr>
        <w:t xml:space="preserve"> </w:t>
      </w:r>
      <w:r>
        <w:rPr>
          <w:sz w:val="18"/>
        </w:rPr>
        <w:t>USB</w:t>
      </w:r>
      <w:r>
        <w:rPr>
          <w:spacing w:val="-3"/>
          <w:sz w:val="18"/>
        </w:rPr>
        <w:t xml:space="preserve"> </w:t>
      </w:r>
      <w:r>
        <w:rPr>
          <w:sz w:val="18"/>
        </w:rPr>
        <w:t>si surub,</w:t>
      </w:r>
      <w:r>
        <w:rPr>
          <w:spacing w:val="-2"/>
          <w:sz w:val="18"/>
        </w:rPr>
        <w:t xml:space="preserve"> </w:t>
      </w:r>
      <w:r>
        <w:rPr>
          <w:sz w:val="18"/>
        </w:rPr>
        <w:t>manual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utilizare</w:t>
      </w:r>
    </w:p>
    <w:p w14:paraId="01A946B0" w14:textId="55319938" w:rsidR="005364BC" w:rsidRPr="00F51EF0" w:rsidRDefault="00000000" w:rsidP="00F559C8">
      <w:pPr>
        <w:pStyle w:val="Heading1"/>
        <w:rPr>
          <w:spacing w:val="-2"/>
        </w:rPr>
      </w:pPr>
      <w:r>
        <w:t>Instructiuni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utilizare</w:t>
      </w:r>
      <w:r w:rsidR="005364BC">
        <w:rPr>
          <w:spacing w:val="-2"/>
        </w:rPr>
        <w:t>:</w:t>
      </w:r>
    </w:p>
    <w:p w14:paraId="4CDEEC32" w14:textId="77777777" w:rsidR="00F97478" w:rsidRPr="00F97478" w:rsidRDefault="00F97478" w:rsidP="00F559C8">
      <w:pPr>
        <w:pStyle w:val="Heading1"/>
        <w:spacing w:before="0" w:line="276" w:lineRule="auto"/>
        <w:rPr>
          <w:b w:val="0"/>
          <w:bCs w:val="0"/>
          <w:szCs w:val="22"/>
        </w:rPr>
      </w:pPr>
      <w:r w:rsidRPr="00F97478">
        <w:rPr>
          <w:b w:val="0"/>
          <w:bCs w:val="0"/>
          <w:szCs w:val="22"/>
        </w:rPr>
        <w:t>Déballez la boîte et retirez soigneusement le produit.</w:t>
      </w:r>
    </w:p>
    <w:p w14:paraId="1F1812E2" w14:textId="77777777" w:rsidR="00F97478" w:rsidRPr="00F97478" w:rsidRDefault="00F97478" w:rsidP="00F559C8">
      <w:pPr>
        <w:pStyle w:val="Heading1"/>
        <w:spacing w:before="0" w:line="276" w:lineRule="auto"/>
        <w:rPr>
          <w:b w:val="0"/>
          <w:bCs w:val="0"/>
          <w:szCs w:val="22"/>
        </w:rPr>
      </w:pPr>
      <w:r w:rsidRPr="00F97478">
        <w:rPr>
          <w:b w:val="0"/>
          <w:bCs w:val="0"/>
          <w:szCs w:val="22"/>
        </w:rPr>
        <w:t>Démontez le boîtier.</w:t>
      </w:r>
    </w:p>
    <w:p w14:paraId="79991DF9" w14:textId="77777777" w:rsidR="00F97478" w:rsidRPr="00F97478" w:rsidRDefault="00F97478" w:rsidP="00F559C8">
      <w:pPr>
        <w:pStyle w:val="Heading1"/>
        <w:spacing w:before="0" w:line="276" w:lineRule="auto"/>
        <w:rPr>
          <w:b w:val="0"/>
          <w:bCs w:val="0"/>
          <w:szCs w:val="22"/>
        </w:rPr>
      </w:pPr>
      <w:r w:rsidRPr="00F97478">
        <w:rPr>
          <w:b w:val="0"/>
          <w:bCs w:val="0"/>
          <w:szCs w:val="22"/>
        </w:rPr>
        <w:t>Vérifiez que le SSD/HDD S-ATA est dans la bonne position et placez-le dans le connecteur à l'intérieur du boîtier.</w:t>
      </w:r>
    </w:p>
    <w:p w14:paraId="021FCA4E" w14:textId="77777777" w:rsidR="00F97478" w:rsidRPr="00F97478" w:rsidRDefault="00F97478" w:rsidP="00F559C8">
      <w:pPr>
        <w:pStyle w:val="Heading1"/>
        <w:spacing w:before="0" w:line="276" w:lineRule="auto"/>
        <w:rPr>
          <w:b w:val="0"/>
          <w:bCs w:val="0"/>
          <w:szCs w:val="22"/>
        </w:rPr>
      </w:pPr>
      <w:r w:rsidRPr="00F97478">
        <w:rPr>
          <w:b w:val="0"/>
          <w:bCs w:val="0"/>
          <w:szCs w:val="22"/>
        </w:rPr>
        <w:t>Connectez-le fermement à la prise S-ATA du boîtier.</w:t>
      </w:r>
    </w:p>
    <w:p w14:paraId="18A0B4BB" w14:textId="77777777" w:rsidR="00F97478" w:rsidRPr="00F97478" w:rsidRDefault="00F97478" w:rsidP="00F559C8">
      <w:pPr>
        <w:pStyle w:val="Heading1"/>
        <w:spacing w:before="0" w:line="276" w:lineRule="auto"/>
        <w:rPr>
          <w:b w:val="0"/>
          <w:bCs w:val="0"/>
          <w:szCs w:val="22"/>
        </w:rPr>
      </w:pPr>
      <w:r w:rsidRPr="00F97478">
        <w:rPr>
          <w:b w:val="0"/>
          <w:bCs w:val="0"/>
          <w:szCs w:val="22"/>
        </w:rPr>
        <w:t>Fermez le boîtier en vous assurant que le HDD/SSD est bien en place.</w:t>
      </w:r>
    </w:p>
    <w:p w14:paraId="699CC94B" w14:textId="77777777" w:rsidR="00F97478" w:rsidRDefault="00F97478" w:rsidP="00F559C8">
      <w:pPr>
        <w:pStyle w:val="Heading1"/>
        <w:spacing w:before="0" w:line="276" w:lineRule="auto"/>
        <w:rPr>
          <w:b w:val="0"/>
          <w:bCs w:val="0"/>
          <w:szCs w:val="22"/>
        </w:rPr>
      </w:pPr>
      <w:r w:rsidRPr="00F97478">
        <w:rPr>
          <w:b w:val="0"/>
          <w:bCs w:val="0"/>
          <w:szCs w:val="22"/>
        </w:rPr>
        <w:t>Connectez le câble avec le connecteur qui s'adapte au boîtier et le connecteur USB à l'appareil souhaité.</w:t>
      </w:r>
    </w:p>
    <w:p w14:paraId="4677A1A9" w14:textId="099E8481" w:rsidR="00686460" w:rsidRPr="00F96FDC" w:rsidRDefault="00000000" w:rsidP="00F96FDC">
      <w:pPr>
        <w:pStyle w:val="Heading1"/>
      </w:pPr>
      <w:r>
        <w:rPr>
          <w:spacing w:val="-2"/>
        </w:rPr>
        <w:t>Precautii</w:t>
      </w:r>
    </w:p>
    <w:p w14:paraId="1A094108" w14:textId="77777777" w:rsidR="00F96FDC" w:rsidRDefault="00F96FDC" w:rsidP="00F96FDC">
      <w:pPr>
        <w:pStyle w:val="BodyText"/>
        <w:spacing w:before="198"/>
        <w:ind w:left="100" w:right="191"/>
      </w:pPr>
      <w:r>
        <w:t>Protection du câble. Ne pas endommager le câble de connexion. Évitez de tirer ou de tordre le câble à l'endroit où il se connecte à l'appareil. Tenir hors de portée des enfants et des animaux domestiques.</w:t>
      </w:r>
    </w:p>
    <w:p w14:paraId="70109B5B" w14:textId="77777777" w:rsidR="00F96FDC" w:rsidRDefault="00F96FDC" w:rsidP="00F96FDC">
      <w:pPr>
        <w:pStyle w:val="BodyText"/>
        <w:spacing w:before="198"/>
        <w:ind w:left="100" w:right="191"/>
      </w:pPr>
      <w:r>
        <w:t>Protégez le produit de l'humidité. Ne pas exposer le produit à la pluie ou à l'air chargé d'humidité. Évitez les liquides.</w:t>
      </w:r>
    </w:p>
    <w:p w14:paraId="5981498A" w14:textId="77777777" w:rsidR="00F96FDC" w:rsidRDefault="00F96FDC" w:rsidP="00F96FDC">
      <w:pPr>
        <w:pStyle w:val="BodyText"/>
        <w:spacing w:before="198"/>
        <w:ind w:left="100" w:right="191"/>
      </w:pPr>
      <w:r>
        <w:t>Protégez le produit du feu et des sources de chaleur. Ne pas approcher le produit du feu ou d'autres sources de chaleur (poêles, radiateurs, etc.).</w:t>
      </w:r>
    </w:p>
    <w:p w14:paraId="42ED0A2B" w14:textId="00222E30" w:rsidR="00B532D1" w:rsidRDefault="00A25A47" w:rsidP="00F96FDC">
      <w:pPr>
        <w:pStyle w:val="BodyText"/>
        <w:spacing w:before="198" w:line="276" w:lineRule="auto"/>
        <w:ind w:left="100" w:right="191"/>
      </w:pPr>
      <w:r w:rsidRPr="00A25A47">
        <w:rPr>
          <w:b/>
        </w:rPr>
        <w:t xml:space="preserve">Élimination du produit. </w:t>
      </w:r>
      <w:r w:rsidRPr="00A25A47">
        <w:rPr>
          <w:bCs/>
        </w:rPr>
        <w:t>Ne jetez pas le produit ni d'autres composants électroniques avec les déchets ménagers. Utilisez uniquement des centres spécialisés pour la collecte des déchets électroniques.</w:t>
      </w:r>
    </w:p>
    <w:p w14:paraId="0CDA14FD" w14:textId="77777777" w:rsidR="008F480D" w:rsidRDefault="008F480D" w:rsidP="00DC640B">
      <w:pPr>
        <w:pStyle w:val="BodyText"/>
        <w:spacing w:before="181" w:line="259" w:lineRule="auto"/>
        <w:ind w:left="1180" w:right="99"/>
        <w:jc w:val="both"/>
        <w:rPr>
          <w:b/>
          <w:bCs/>
        </w:rPr>
      </w:pPr>
      <w:r w:rsidRPr="008F480D">
        <w:rPr>
          <w:b/>
          <w:bCs/>
        </w:rPr>
        <w:t>ÉLIMINATION DES DÉCHETS :</w:t>
      </w:r>
    </w:p>
    <w:p w14:paraId="4493A395" w14:textId="69A8D401" w:rsidR="00DD724B" w:rsidRDefault="00DC60D8" w:rsidP="00DC640B">
      <w:pPr>
        <w:pStyle w:val="BodyText"/>
        <w:spacing w:before="181" w:line="259" w:lineRule="auto"/>
        <w:ind w:left="1180" w:right="99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677A1B7" wp14:editId="525AD557">
            <wp:simplePos x="0" y="0"/>
            <wp:positionH relativeFrom="page">
              <wp:posOffset>523875</wp:posOffset>
            </wp:positionH>
            <wp:positionV relativeFrom="paragraph">
              <wp:posOffset>215900</wp:posOffset>
            </wp:positionV>
            <wp:extent cx="400050" cy="3467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50" cy="34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640B" w:rsidRPr="00DC640B">
        <w:t xml:space="preserve">Le symbole ci-joint indique qu'en vertu des lois et règlements locaux, votre produit et/ou sa batterie doivent être éliminés séparément des déchets ménagers. Lorsque ce produit atteint la fin de sa durée de vie, apportez-le à un point de collecte désigné par les autorités locales. Pour des informations sur les centres de collecte locaux, veuillez contacter la mairie de votre localité ou accéder à la page </w:t>
      </w:r>
      <w:hyperlink r:id="rId10" w:history="1">
        <w:r w:rsidR="00DD724B" w:rsidRPr="007A058A">
          <w:rPr>
            <w:rStyle w:val="Hyperlink"/>
          </w:rPr>
          <w:t>www.ecotic.</w:t>
        </w:r>
        <w:r w:rsidR="00DD724B" w:rsidRPr="007A058A">
          <w:rPr>
            <w:rStyle w:val="Hyperlink"/>
          </w:rPr>
          <w:t>fr</w:t>
        </w:r>
      </w:hyperlink>
    </w:p>
    <w:p w14:paraId="7C30F388" w14:textId="7CEA5389" w:rsidR="0022176E" w:rsidRDefault="0022176E" w:rsidP="00DD724B">
      <w:pPr>
        <w:pStyle w:val="BodyText"/>
        <w:spacing w:before="181" w:line="259" w:lineRule="auto"/>
        <w:ind w:right="99"/>
        <w:jc w:val="both"/>
      </w:pPr>
      <w:r w:rsidRPr="0022176E">
        <w:t>Par la présente, nous déclarons que notre produit est conforme à la Directive 2014/30/UE.</w:t>
      </w:r>
    </w:p>
    <w:p w14:paraId="4677A1B2" w14:textId="77777777" w:rsidR="00686460" w:rsidRDefault="00000000">
      <w:pPr>
        <w:pStyle w:val="BodyText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677A1B9" wp14:editId="4677A1BA">
            <wp:simplePos x="0" y="0"/>
            <wp:positionH relativeFrom="page">
              <wp:posOffset>542449</wp:posOffset>
            </wp:positionH>
            <wp:positionV relativeFrom="paragraph">
              <wp:posOffset>136559</wp:posOffset>
            </wp:positionV>
            <wp:extent cx="1036251" cy="26403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251" cy="2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6460">
      <w:type w:val="continuous"/>
      <w:pgSz w:w="12240" w:h="15840"/>
      <w:pgMar w:top="13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A0531"/>
    <w:multiLevelType w:val="hybridMultilevel"/>
    <w:tmpl w:val="9A9C022A"/>
    <w:lvl w:ilvl="0" w:tplc="86086702">
      <w:start w:val="1"/>
      <w:numFmt w:val="decimal"/>
      <w:lvlText w:val="%1."/>
      <w:lvlJc w:val="left"/>
      <w:pPr>
        <w:ind w:left="82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42EA9D2">
      <w:numFmt w:val="bullet"/>
      <w:lvlText w:val="•"/>
      <w:lvlJc w:val="left"/>
      <w:pPr>
        <w:ind w:left="1838" w:hanging="361"/>
      </w:pPr>
      <w:rPr>
        <w:rFonts w:hint="default"/>
        <w:lang w:val="ro-RO" w:eastAsia="en-US" w:bidi="ar-SA"/>
      </w:rPr>
    </w:lvl>
    <w:lvl w:ilvl="2" w:tplc="7DFA83EE">
      <w:numFmt w:val="bullet"/>
      <w:lvlText w:val="•"/>
      <w:lvlJc w:val="left"/>
      <w:pPr>
        <w:ind w:left="2856" w:hanging="361"/>
      </w:pPr>
      <w:rPr>
        <w:rFonts w:hint="default"/>
        <w:lang w:val="ro-RO" w:eastAsia="en-US" w:bidi="ar-SA"/>
      </w:rPr>
    </w:lvl>
    <w:lvl w:ilvl="3" w:tplc="EB525366">
      <w:numFmt w:val="bullet"/>
      <w:lvlText w:val="•"/>
      <w:lvlJc w:val="left"/>
      <w:pPr>
        <w:ind w:left="3874" w:hanging="361"/>
      </w:pPr>
      <w:rPr>
        <w:rFonts w:hint="default"/>
        <w:lang w:val="ro-RO" w:eastAsia="en-US" w:bidi="ar-SA"/>
      </w:rPr>
    </w:lvl>
    <w:lvl w:ilvl="4" w:tplc="E3166A32">
      <w:numFmt w:val="bullet"/>
      <w:lvlText w:val="•"/>
      <w:lvlJc w:val="left"/>
      <w:pPr>
        <w:ind w:left="4892" w:hanging="361"/>
      </w:pPr>
      <w:rPr>
        <w:rFonts w:hint="default"/>
        <w:lang w:val="ro-RO" w:eastAsia="en-US" w:bidi="ar-SA"/>
      </w:rPr>
    </w:lvl>
    <w:lvl w:ilvl="5" w:tplc="5F0232EA">
      <w:numFmt w:val="bullet"/>
      <w:lvlText w:val="•"/>
      <w:lvlJc w:val="left"/>
      <w:pPr>
        <w:ind w:left="5910" w:hanging="361"/>
      </w:pPr>
      <w:rPr>
        <w:rFonts w:hint="default"/>
        <w:lang w:val="ro-RO" w:eastAsia="en-US" w:bidi="ar-SA"/>
      </w:rPr>
    </w:lvl>
    <w:lvl w:ilvl="6" w:tplc="99FE560E">
      <w:numFmt w:val="bullet"/>
      <w:lvlText w:val="•"/>
      <w:lvlJc w:val="left"/>
      <w:pPr>
        <w:ind w:left="6928" w:hanging="361"/>
      </w:pPr>
      <w:rPr>
        <w:rFonts w:hint="default"/>
        <w:lang w:val="ro-RO" w:eastAsia="en-US" w:bidi="ar-SA"/>
      </w:rPr>
    </w:lvl>
    <w:lvl w:ilvl="7" w:tplc="B136DDB0">
      <w:numFmt w:val="bullet"/>
      <w:lvlText w:val="•"/>
      <w:lvlJc w:val="left"/>
      <w:pPr>
        <w:ind w:left="7946" w:hanging="361"/>
      </w:pPr>
      <w:rPr>
        <w:rFonts w:hint="default"/>
        <w:lang w:val="ro-RO" w:eastAsia="en-US" w:bidi="ar-SA"/>
      </w:rPr>
    </w:lvl>
    <w:lvl w:ilvl="8" w:tplc="2EF84C80">
      <w:numFmt w:val="bullet"/>
      <w:lvlText w:val="•"/>
      <w:lvlJc w:val="left"/>
      <w:pPr>
        <w:ind w:left="8964" w:hanging="361"/>
      </w:pPr>
      <w:rPr>
        <w:rFonts w:hint="default"/>
        <w:lang w:val="ro-RO" w:eastAsia="en-US" w:bidi="ar-SA"/>
      </w:rPr>
    </w:lvl>
  </w:abstractNum>
  <w:num w:numId="1" w16cid:durableId="128897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60"/>
    <w:rsid w:val="002109D8"/>
    <w:rsid w:val="0022176E"/>
    <w:rsid w:val="002A3278"/>
    <w:rsid w:val="004C0CD3"/>
    <w:rsid w:val="004F4C31"/>
    <w:rsid w:val="005364BC"/>
    <w:rsid w:val="00551889"/>
    <w:rsid w:val="00686460"/>
    <w:rsid w:val="007A2534"/>
    <w:rsid w:val="008449B0"/>
    <w:rsid w:val="00855F73"/>
    <w:rsid w:val="008F480D"/>
    <w:rsid w:val="00A25A47"/>
    <w:rsid w:val="00B03639"/>
    <w:rsid w:val="00B532D1"/>
    <w:rsid w:val="00CA669D"/>
    <w:rsid w:val="00D40EB7"/>
    <w:rsid w:val="00DC60D8"/>
    <w:rsid w:val="00DC640B"/>
    <w:rsid w:val="00DD724B"/>
    <w:rsid w:val="00EB3411"/>
    <w:rsid w:val="00F51EF0"/>
    <w:rsid w:val="00F559C8"/>
    <w:rsid w:val="00F96FDC"/>
    <w:rsid w:val="00F97478"/>
    <w:rsid w:val="00FD5212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A182"/>
  <w15:docId w15:val="{86624F00-D019-485E-ACCC-B2A5C894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o-RO"/>
    </w:rPr>
  </w:style>
  <w:style w:type="paragraph" w:styleId="Heading1">
    <w:name w:val="heading 1"/>
    <w:basedOn w:val="Normal"/>
    <w:uiPriority w:val="9"/>
    <w:qFormat/>
    <w:pPr>
      <w:spacing w:before="176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76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353"/>
    </w:pPr>
  </w:style>
  <w:style w:type="character" w:styleId="Hyperlink">
    <w:name w:val="Hyperlink"/>
    <w:basedOn w:val="DefaultParagraphFont"/>
    <w:uiPriority w:val="99"/>
    <w:unhideWhenUsed/>
    <w:rsid w:val="00B036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63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532D1"/>
    <w:rPr>
      <w:rFonts w:ascii="Tahoma" w:eastAsia="Tahoma" w:hAnsi="Tahoma" w:cs="Tahoma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acer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cer-tech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ecotic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Dobre</dc:creator>
  <cp:lastModifiedBy>ovidiu stanescu</cp:lastModifiedBy>
  <cp:revision>25</cp:revision>
  <dcterms:created xsi:type="dcterms:W3CDTF">2024-10-23T20:34:00Z</dcterms:created>
  <dcterms:modified xsi:type="dcterms:W3CDTF">2024-10-23T21:38:00Z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2019</vt:lpwstr>
  </property>
</Properties>
</file>